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6DA" w:rsidRPr="00B246DA" w:rsidRDefault="00B246DA" w:rsidP="00B246DA">
      <w:pPr>
        <w:spacing w:after="0" w:line="240" w:lineRule="auto"/>
        <w:ind w:left="5954"/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</w:pPr>
      <w:r w:rsidRPr="00B246DA"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  <w:t xml:space="preserve">Приложение № 1 </w:t>
      </w:r>
    </w:p>
    <w:p w:rsidR="00B246DA" w:rsidRPr="00B246DA" w:rsidRDefault="00B246DA" w:rsidP="00B246DA">
      <w:pPr>
        <w:spacing w:after="0" w:line="240" w:lineRule="auto"/>
        <w:ind w:left="5954"/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</w:pPr>
      <w:r w:rsidRPr="00B246DA"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  <w:t xml:space="preserve">к письму министерства образования Красноярского края </w:t>
      </w:r>
    </w:p>
    <w:p w:rsidR="00B246DA" w:rsidRPr="00B246DA" w:rsidRDefault="00B246DA" w:rsidP="00B246DA">
      <w:pPr>
        <w:spacing w:after="0" w:line="240" w:lineRule="auto"/>
        <w:ind w:left="5954"/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</w:pPr>
      <w:r w:rsidRPr="00B246DA"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  <w:t>от                    №</w:t>
      </w:r>
    </w:p>
    <w:p w:rsidR="00B246DA" w:rsidRPr="00B246DA" w:rsidRDefault="00B246DA" w:rsidP="00B246DA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246DA" w:rsidRPr="00B246DA" w:rsidRDefault="00B246DA" w:rsidP="00B246D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  <w:t>ПЛАН ПРОВЕДЕНИЯ</w:t>
      </w:r>
    </w:p>
    <w:p w:rsidR="00B246DA" w:rsidRPr="00B246DA" w:rsidRDefault="00B246DA" w:rsidP="00B246D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b/>
          <w:sz w:val="27"/>
          <w:szCs w:val="27"/>
          <w:lang w:eastAsia="en-US"/>
        </w:rPr>
        <w:t xml:space="preserve">независимой оценки качества </w:t>
      </w:r>
      <w:r w:rsidRPr="00B246DA">
        <w:rPr>
          <w:rFonts w:ascii="Times New Roman" w:eastAsia="Calibri" w:hAnsi="Times New Roman" w:cs="Times New Roman"/>
          <w:b/>
          <w:sz w:val="27"/>
          <w:szCs w:val="27"/>
          <w:lang w:eastAsia="en-US"/>
        </w:rPr>
        <w:br/>
        <w:t xml:space="preserve">дополнительных общеобразовательных программ </w:t>
      </w: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4678"/>
        <w:gridCol w:w="1984"/>
      </w:tblGrid>
      <w:tr w:rsidR="00B246DA" w:rsidRPr="00B246DA" w:rsidTr="0011269C">
        <w:tc>
          <w:tcPr>
            <w:tcW w:w="2660" w:type="dxa"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Стадии</w:t>
            </w:r>
          </w:p>
        </w:tc>
        <w:tc>
          <w:tcPr>
            <w:tcW w:w="4678" w:type="dxa"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Мероприятия</w:t>
            </w:r>
          </w:p>
        </w:tc>
        <w:tc>
          <w:tcPr>
            <w:tcW w:w="1984" w:type="dxa"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Сроки</w:t>
            </w:r>
          </w:p>
        </w:tc>
      </w:tr>
      <w:tr w:rsidR="00B246DA" w:rsidRPr="00B246DA" w:rsidTr="0011269C">
        <w:tc>
          <w:tcPr>
            <w:tcW w:w="2660" w:type="dxa"/>
            <w:vMerge w:val="restart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I. Подготовительная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Подбор экспертов для участия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br/>
              <w:t>в независимой оценке программ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>30 апреля -15 мая 2020 г.</w:t>
            </w:r>
          </w:p>
        </w:tc>
      </w:tr>
      <w:tr w:rsidR="00B246DA" w:rsidRPr="00B246DA" w:rsidTr="0011269C">
        <w:tc>
          <w:tcPr>
            <w:tcW w:w="2660" w:type="dxa"/>
            <w:vMerge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Подготовка экспертов для участия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br/>
              <w:t>в независимой оценке программ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27 мая – 5 июня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г.</w:t>
            </w:r>
          </w:p>
        </w:tc>
      </w:tr>
      <w:tr w:rsidR="00B246DA" w:rsidRPr="00B246DA" w:rsidTr="0011269C">
        <w:tc>
          <w:tcPr>
            <w:tcW w:w="2660" w:type="dxa"/>
            <w:vMerge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Рассылка сопроводительных документов: инструкции,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br/>
              <w:t xml:space="preserve">для образовательных организаций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br/>
              <w:t>и экспертов.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15 – 20 июня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г.</w:t>
            </w:r>
          </w:p>
        </w:tc>
      </w:tr>
      <w:tr w:rsidR="00B246DA" w:rsidRPr="00B246DA" w:rsidTr="0011269C">
        <w:tc>
          <w:tcPr>
            <w:tcW w:w="2660" w:type="dxa"/>
            <w:vMerge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Проверка технической готовности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br/>
              <w:t>к проведению апробации: пробное тестирование платформы.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15 – 20 июня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г.</w:t>
            </w:r>
          </w:p>
        </w:tc>
      </w:tr>
      <w:tr w:rsidR="00B246DA" w:rsidRPr="00B246DA" w:rsidTr="0011269C">
        <w:tc>
          <w:tcPr>
            <w:tcW w:w="2660" w:type="dxa"/>
            <w:vMerge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Сбор программ, принимающих участие в независимой оценке программ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18 – 22 июня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г.</w:t>
            </w:r>
          </w:p>
        </w:tc>
      </w:tr>
      <w:tr w:rsidR="00B246DA" w:rsidRPr="00B246DA" w:rsidTr="0011269C">
        <w:tc>
          <w:tcPr>
            <w:tcW w:w="2660" w:type="dxa"/>
            <w:vMerge w:val="restart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  <w:t xml:space="preserve">II.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Проведение процедуры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Экспертиза дополнительных образовательных программ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caps/>
                <w:szCs w:val="27"/>
                <w:lang w:eastAsia="en-US"/>
              </w:rPr>
              <w:t>22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 июня – 10 июля 2020 года;</w:t>
            </w:r>
          </w:p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4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25 июля -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 xml:space="preserve">15 августа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года.</w:t>
            </w:r>
          </w:p>
        </w:tc>
      </w:tr>
      <w:tr w:rsidR="00B246DA" w:rsidRPr="00B246DA" w:rsidTr="0011269C">
        <w:tc>
          <w:tcPr>
            <w:tcW w:w="2660" w:type="dxa"/>
            <w:vMerge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Консультационная поддержка участников независимой оценки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22 июня -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15 августа 2020 г.</w:t>
            </w:r>
          </w:p>
        </w:tc>
      </w:tr>
      <w:tr w:rsidR="00B246DA" w:rsidRPr="00B246DA" w:rsidTr="0011269C">
        <w:tc>
          <w:tcPr>
            <w:tcW w:w="2660" w:type="dxa"/>
            <w:vMerge w:val="restart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caps/>
                <w:sz w:val="27"/>
                <w:szCs w:val="27"/>
                <w:lang w:val="en-SG" w:eastAsia="en-US"/>
              </w:rPr>
              <w:t>III</w:t>
            </w:r>
            <w:r w:rsidRPr="00B246DA"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  <w:t xml:space="preserve">.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Подведение результатов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 xml:space="preserve">Оформление итогового протокола </w:t>
            </w: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br/>
              <w:t>по результатам независимой оценки программ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13-14 июля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года;</w:t>
            </w:r>
          </w:p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17-18 августа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года.</w:t>
            </w:r>
          </w:p>
        </w:tc>
      </w:tr>
      <w:tr w:rsidR="00B246DA" w:rsidRPr="00B246DA" w:rsidTr="0011269C">
        <w:tc>
          <w:tcPr>
            <w:tcW w:w="2660" w:type="dxa"/>
            <w:vMerge/>
            <w:shd w:val="clear" w:color="auto" w:fill="auto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7"/>
                <w:szCs w:val="27"/>
                <w:lang w:eastAsia="en-US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 w:val="27"/>
                <w:szCs w:val="27"/>
                <w:lang w:eastAsia="en-US"/>
              </w:rPr>
              <w:t>Публикация результатов независимой оценки качества дополнительных общеобразовательных программ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246DA" w:rsidRPr="00B246DA" w:rsidRDefault="00B246DA" w:rsidP="00B246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7"/>
                <w:lang w:eastAsia="en-US"/>
              </w:rPr>
            </w:pP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t xml:space="preserve">15 июля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года,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 xml:space="preserve">19 августа </w:t>
            </w:r>
            <w:r w:rsidRPr="00B246DA">
              <w:rPr>
                <w:rFonts w:ascii="Times New Roman" w:eastAsia="Calibri" w:hAnsi="Times New Roman" w:cs="Times New Roman"/>
                <w:szCs w:val="27"/>
                <w:lang w:eastAsia="en-US"/>
              </w:rPr>
              <w:br/>
              <w:t>2020 года</w:t>
            </w:r>
          </w:p>
        </w:tc>
      </w:tr>
    </w:tbl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after="0" w:line="240" w:lineRule="auto"/>
        <w:ind w:left="5954"/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</w:pPr>
      <w:r w:rsidRPr="00B246DA"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  <w:lastRenderedPageBreak/>
        <w:t xml:space="preserve">Приложение № 4 </w:t>
      </w:r>
    </w:p>
    <w:p w:rsidR="00B246DA" w:rsidRPr="00B246DA" w:rsidRDefault="00B246DA" w:rsidP="00B246DA">
      <w:pPr>
        <w:spacing w:after="0" w:line="240" w:lineRule="auto"/>
        <w:ind w:left="5954"/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</w:pPr>
      <w:r w:rsidRPr="00B246DA"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  <w:t xml:space="preserve">к письму министерства образования Красноярского края </w:t>
      </w:r>
    </w:p>
    <w:p w:rsidR="00B246DA" w:rsidRPr="00B246DA" w:rsidRDefault="00B246DA" w:rsidP="00B246DA">
      <w:pPr>
        <w:spacing w:after="0" w:line="240" w:lineRule="auto"/>
        <w:ind w:left="5954"/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</w:pPr>
      <w:r w:rsidRPr="00B246DA">
        <w:rPr>
          <w:rFonts w:ascii="Times New Roman" w:hAnsi="Times New Roman" w:cs="Times New Roman"/>
          <w:color w:val="2D2D2D"/>
          <w:spacing w:val="2"/>
          <w:szCs w:val="28"/>
          <w:shd w:val="clear" w:color="auto" w:fill="FFFFFF"/>
        </w:rPr>
        <w:t>от                    №</w:t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b/>
          <w:sz w:val="27"/>
          <w:szCs w:val="27"/>
          <w:lang w:eastAsia="en-US"/>
        </w:rPr>
        <w:t xml:space="preserve">Инструкция для экспертов </w:t>
      </w:r>
      <w:r w:rsidRPr="00B246DA">
        <w:rPr>
          <w:rFonts w:ascii="Times New Roman" w:eastAsia="Calibri" w:hAnsi="Times New Roman" w:cs="Times New Roman"/>
          <w:b/>
          <w:sz w:val="27"/>
          <w:szCs w:val="27"/>
          <w:lang w:eastAsia="en-US"/>
        </w:rPr>
        <w:br/>
        <w:t>по экспертизе дополнительных образовательных программ</w:t>
      </w:r>
    </w:p>
    <w:p w:rsidR="00B246DA" w:rsidRPr="00B246DA" w:rsidRDefault="00B246DA" w:rsidP="00B246DA">
      <w:pPr>
        <w:spacing w:line="240" w:lineRule="auto"/>
        <w:ind w:left="708"/>
        <w:jc w:val="both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t>В личном кабинете эксперта (рис.1) доступно четыре раздела:</w:t>
      </w:r>
    </w:p>
    <w:p w:rsidR="00B246DA" w:rsidRPr="00B246DA" w:rsidRDefault="00B246DA" w:rsidP="00B246DA">
      <w:pPr>
        <w:pStyle w:val="a6"/>
        <w:numPr>
          <w:ilvl w:val="0"/>
          <w:numId w:val="1"/>
        </w:numPr>
        <w:ind w:left="0" w:firstLine="709"/>
        <w:jc w:val="both"/>
        <w:rPr>
          <w:rFonts w:eastAsia="Calibri"/>
          <w:caps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 xml:space="preserve">Организации 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– </w:t>
      </w:r>
      <w:r w:rsidRPr="00B246DA">
        <w:rPr>
          <w:rFonts w:eastAsia="Calibri"/>
          <w:sz w:val="27"/>
          <w:szCs w:val="27"/>
          <w:lang w:eastAsia="en-US"/>
        </w:rPr>
        <w:t>перечень всех организаций дополнительного образования, зарегистрированные в информационной системе;</w:t>
      </w:r>
    </w:p>
    <w:p w:rsidR="00B246DA" w:rsidRPr="00B246DA" w:rsidRDefault="00B246DA" w:rsidP="00B246DA">
      <w:pPr>
        <w:pStyle w:val="a6"/>
        <w:numPr>
          <w:ilvl w:val="0"/>
          <w:numId w:val="1"/>
        </w:numPr>
        <w:ind w:left="0" w:firstLine="709"/>
        <w:jc w:val="both"/>
        <w:rPr>
          <w:rFonts w:eastAsia="Calibri"/>
          <w:caps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 xml:space="preserve">Программы 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– </w:t>
      </w:r>
      <w:r w:rsidRPr="00B246DA">
        <w:rPr>
          <w:rFonts w:eastAsia="Calibri"/>
          <w:sz w:val="27"/>
          <w:szCs w:val="27"/>
          <w:lang w:eastAsia="en-US"/>
        </w:rPr>
        <w:t xml:space="preserve">все программы, добавленные организациями </w:t>
      </w:r>
      <w:r w:rsidRPr="00B246DA">
        <w:rPr>
          <w:rFonts w:eastAsia="Calibri"/>
          <w:sz w:val="27"/>
          <w:szCs w:val="27"/>
          <w:lang w:eastAsia="en-US"/>
        </w:rPr>
        <w:br/>
        <w:t>в информационной системе;</w:t>
      </w:r>
    </w:p>
    <w:p w:rsidR="00B246DA" w:rsidRPr="00B246DA" w:rsidRDefault="00B246DA" w:rsidP="00B246DA">
      <w:pPr>
        <w:pStyle w:val="a6"/>
        <w:numPr>
          <w:ilvl w:val="0"/>
          <w:numId w:val="1"/>
        </w:numPr>
        <w:ind w:left="0" w:firstLine="709"/>
        <w:jc w:val="both"/>
        <w:rPr>
          <w:rFonts w:eastAsia="Calibri"/>
          <w:caps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 xml:space="preserve">Экспертиза 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– </w:t>
      </w:r>
      <w:r w:rsidRPr="00B246DA">
        <w:rPr>
          <w:rFonts w:eastAsia="Calibri"/>
          <w:sz w:val="27"/>
          <w:szCs w:val="27"/>
          <w:lang w:eastAsia="en-US"/>
        </w:rPr>
        <w:t>программы,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 </w:t>
      </w:r>
      <w:r w:rsidRPr="00B246DA">
        <w:rPr>
          <w:rFonts w:eastAsia="Calibri"/>
          <w:sz w:val="27"/>
          <w:szCs w:val="27"/>
          <w:lang w:eastAsia="en-US"/>
        </w:rPr>
        <w:t xml:space="preserve">направленные организациями </w:t>
      </w:r>
      <w:r w:rsidRPr="00B246DA">
        <w:rPr>
          <w:rFonts w:eastAsia="Calibri"/>
          <w:sz w:val="27"/>
          <w:szCs w:val="27"/>
          <w:lang w:eastAsia="en-US"/>
        </w:rPr>
        <w:br/>
        <w:t>на экспертизу</w:t>
      </w:r>
      <w:r w:rsidRPr="00B246DA">
        <w:rPr>
          <w:rFonts w:eastAsia="Calibri"/>
          <w:caps/>
          <w:sz w:val="27"/>
          <w:szCs w:val="27"/>
          <w:lang w:eastAsia="en-US"/>
        </w:rPr>
        <w:t>;</w:t>
      </w:r>
    </w:p>
    <w:p w:rsidR="00B246DA" w:rsidRPr="00B246DA" w:rsidRDefault="00B246DA" w:rsidP="00B246DA">
      <w:pPr>
        <w:pStyle w:val="a6"/>
        <w:numPr>
          <w:ilvl w:val="0"/>
          <w:numId w:val="1"/>
        </w:numPr>
        <w:ind w:left="0" w:firstLine="709"/>
        <w:jc w:val="both"/>
        <w:rPr>
          <w:rFonts w:eastAsia="Calibri"/>
          <w:caps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 xml:space="preserve">Экспертные листы 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– </w:t>
      </w:r>
      <w:r w:rsidRPr="00B246DA">
        <w:rPr>
          <w:rFonts w:eastAsia="Calibri"/>
          <w:sz w:val="27"/>
          <w:szCs w:val="27"/>
          <w:lang w:eastAsia="en-US"/>
        </w:rPr>
        <w:t>листы оценивания программы, сформированные данным экспертом.</w:t>
      </w:r>
    </w:p>
    <w:p w:rsidR="00B246DA" w:rsidRPr="00B246DA" w:rsidRDefault="00B246DA" w:rsidP="00B246DA">
      <w:pPr>
        <w:spacing w:line="240" w:lineRule="auto"/>
        <w:jc w:val="both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ind w:left="708"/>
        <w:jc w:val="center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  <w:r w:rsidRPr="00B246DA">
        <w:rPr>
          <w:rFonts w:ascii="Times New Roman" w:hAnsi="Times New Roman" w:cs="Times New Roman"/>
          <w:noProof/>
        </w:rPr>
        <w:drawing>
          <wp:inline distT="0" distB="0" distL="0" distR="0">
            <wp:extent cx="3781425" cy="2962275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886" r="60970" b="3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A" w:rsidRPr="00B246DA" w:rsidRDefault="00B246DA" w:rsidP="00B246DA">
      <w:pPr>
        <w:spacing w:line="240" w:lineRule="auto"/>
        <w:ind w:left="708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>Рисунок 1 – Личный кабинет эксперта</w:t>
      </w:r>
    </w:p>
    <w:p w:rsidR="00B246DA" w:rsidRPr="00B246DA" w:rsidRDefault="00B246DA" w:rsidP="00B246DA">
      <w:pPr>
        <w:spacing w:line="240" w:lineRule="auto"/>
        <w:ind w:left="708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</w:p>
    <w:p w:rsidR="00B246DA" w:rsidRPr="00B246DA" w:rsidRDefault="00B246DA" w:rsidP="00B246DA">
      <w:pPr>
        <w:pStyle w:val="a6"/>
        <w:numPr>
          <w:ilvl w:val="0"/>
          <w:numId w:val="2"/>
        </w:numPr>
        <w:ind w:left="0" w:firstLine="709"/>
        <w:jc w:val="both"/>
        <w:rPr>
          <w:rFonts w:eastAsia="Calibri"/>
          <w:caps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>Для оценки программ перейдите в раздел "экспертиза", щелкнув по его кнопке на панели разделов (рис. 2</w:t>
      </w:r>
      <w:r w:rsidRPr="00B246DA">
        <w:rPr>
          <w:rFonts w:eastAsia="Calibri"/>
          <w:caps/>
          <w:sz w:val="27"/>
          <w:szCs w:val="27"/>
          <w:lang w:eastAsia="en-US"/>
        </w:rPr>
        <w:t>).</w:t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  <w:r w:rsidRPr="00B246D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952875" cy="2495550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231" t="38470" r="33601" b="2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>Рисунок 2 – переход в раздел «Экспертиза»</w:t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t>Открывшееся окно (рис. 3) содержит перечень программ, направленных на экспертизу.</w:t>
      </w: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  <w:r w:rsidRPr="00B246DA">
        <w:rPr>
          <w:rFonts w:ascii="Times New Roman" w:hAnsi="Times New Roman" w:cs="Times New Roman"/>
          <w:noProof/>
        </w:rPr>
        <w:drawing>
          <wp:inline distT="0" distB="0" distL="0" distR="0">
            <wp:extent cx="4352925" cy="22002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77" t="29630" r="24605" b="2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A" w:rsidRPr="00B246DA" w:rsidRDefault="00B246DA" w:rsidP="00B246DA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i/>
          <w:caps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Рисунок </w:t>
      </w:r>
      <w:r w:rsidRPr="00B246DA">
        <w:rPr>
          <w:rFonts w:ascii="Times New Roman" w:eastAsia="Calibri" w:hAnsi="Times New Roman" w:cs="Times New Roman"/>
          <w:i/>
          <w:caps/>
          <w:sz w:val="27"/>
          <w:szCs w:val="27"/>
          <w:lang w:eastAsia="en-US"/>
        </w:rPr>
        <w:t>3</w:t>
      </w: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 – перечень программ на экспертизе</w:t>
      </w: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t xml:space="preserve">Организации самостоятельно направляют свои программы </w:t>
      </w: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br/>
        <w:t xml:space="preserve">на экспертизу. Обязательное условие – наличие в карточке программы файлов с методическими материалами. </w:t>
      </w: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t>Для вашего удобства мы вывели в таблице некоторые параметры программ, чтобы было проще ориентироваться. Например, количество выставленных другими экспертами оценок можно проверить по столбцу «кол-во оценок». Программы, набравшие 3 оценки, автоматически снимаются с экспертизы и удаляются из раздела.</w:t>
      </w:r>
    </w:p>
    <w:p w:rsidR="00B246DA" w:rsidRPr="00B246DA" w:rsidRDefault="00B246DA" w:rsidP="00B246D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lastRenderedPageBreak/>
        <w:t xml:space="preserve">2. Для ознакомления с описанием программы перейдите в карточку программы (рис. 4). Для этого необходимо на ее порядковый номер </w:t>
      </w:r>
      <w:r w:rsidRPr="00B246DA">
        <w:rPr>
          <w:rFonts w:ascii="Times New Roman" w:eastAsia="Calibri" w:hAnsi="Times New Roman" w:cs="Times New Roman"/>
          <w:sz w:val="27"/>
          <w:szCs w:val="27"/>
          <w:lang w:eastAsia="en-US"/>
        </w:rPr>
        <w:br/>
        <w:t xml:space="preserve">в перечне. </w:t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  <w:r w:rsidRPr="00B246DA">
        <w:rPr>
          <w:rFonts w:ascii="Times New Roman" w:hAnsi="Times New Roman" w:cs="Times New Roman"/>
          <w:noProof/>
        </w:rPr>
        <w:drawing>
          <wp:inline distT="0" distB="0" distL="0" distR="0">
            <wp:extent cx="4610100" cy="27146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436" t="15771" r="24597" b="3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i/>
          <w:caps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Рисунок </w:t>
      </w:r>
      <w:r w:rsidRPr="00B246DA">
        <w:rPr>
          <w:rFonts w:ascii="Times New Roman" w:eastAsia="Calibri" w:hAnsi="Times New Roman" w:cs="Times New Roman"/>
          <w:i/>
          <w:caps/>
          <w:sz w:val="27"/>
          <w:szCs w:val="27"/>
          <w:lang w:val="en-SG" w:eastAsia="en-US"/>
        </w:rPr>
        <w:t>4</w:t>
      </w: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 – карточка программы </w:t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pStyle w:val="a6"/>
        <w:numPr>
          <w:ilvl w:val="0"/>
          <w:numId w:val="2"/>
        </w:numPr>
        <w:ind w:left="0" w:firstLine="709"/>
        <w:jc w:val="both"/>
        <w:rPr>
          <w:rFonts w:eastAsia="Calibri"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>Ознакомьтесь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 </w:t>
      </w:r>
      <w:r w:rsidRPr="00B246DA">
        <w:rPr>
          <w:rFonts w:eastAsia="Calibri"/>
          <w:sz w:val="27"/>
          <w:szCs w:val="27"/>
          <w:lang w:eastAsia="en-US"/>
        </w:rPr>
        <w:t xml:space="preserve">с методическими материалами. Для этого в карточке программы перейдите на вкладку «Программа ДО», скачайте и откройте файлы программы (рис. 5) . Как </w:t>
      </w:r>
      <w:proofErr w:type="gramStart"/>
      <w:r w:rsidRPr="00B246DA">
        <w:rPr>
          <w:rFonts w:eastAsia="Calibri"/>
          <w:sz w:val="27"/>
          <w:szCs w:val="27"/>
          <w:lang w:eastAsia="en-US"/>
        </w:rPr>
        <w:t>правило</w:t>
      </w:r>
      <w:proofErr w:type="gramEnd"/>
      <w:r w:rsidRPr="00B246DA">
        <w:rPr>
          <w:rFonts w:eastAsia="Calibri"/>
          <w:sz w:val="27"/>
          <w:szCs w:val="27"/>
          <w:lang w:eastAsia="en-US"/>
        </w:rPr>
        <w:t xml:space="preserve"> это файлы формата .</w:t>
      </w:r>
      <w:proofErr w:type="spellStart"/>
      <w:r w:rsidRPr="00B246DA">
        <w:rPr>
          <w:rFonts w:eastAsia="Calibri"/>
          <w:sz w:val="27"/>
          <w:szCs w:val="27"/>
          <w:lang w:val="en-SG" w:eastAsia="en-US"/>
        </w:rPr>
        <w:t>docx</w:t>
      </w:r>
      <w:proofErr w:type="spellEnd"/>
      <w:r w:rsidRPr="00B246DA">
        <w:rPr>
          <w:rFonts w:eastAsia="Calibri"/>
          <w:sz w:val="27"/>
          <w:szCs w:val="27"/>
          <w:lang w:eastAsia="en-US"/>
        </w:rPr>
        <w:t>, .</w:t>
      </w:r>
      <w:proofErr w:type="spellStart"/>
      <w:r w:rsidRPr="00B246DA">
        <w:rPr>
          <w:rFonts w:eastAsia="Calibri"/>
          <w:sz w:val="27"/>
          <w:szCs w:val="27"/>
          <w:lang w:val="en-SG" w:eastAsia="en-US"/>
        </w:rPr>
        <w:t>exsl</w:t>
      </w:r>
      <w:proofErr w:type="spellEnd"/>
      <w:r w:rsidRPr="00B246DA">
        <w:rPr>
          <w:rFonts w:eastAsia="Calibri"/>
          <w:sz w:val="27"/>
          <w:szCs w:val="27"/>
          <w:lang w:eastAsia="en-US"/>
        </w:rPr>
        <w:t>, .</w:t>
      </w:r>
      <w:proofErr w:type="spellStart"/>
      <w:r w:rsidRPr="00B246DA">
        <w:rPr>
          <w:rFonts w:eastAsia="Calibri"/>
          <w:sz w:val="27"/>
          <w:szCs w:val="27"/>
          <w:lang w:val="en-SG" w:eastAsia="en-US"/>
        </w:rPr>
        <w:t>pdf</w:t>
      </w:r>
      <w:proofErr w:type="spellEnd"/>
      <w:r w:rsidRPr="00B246DA">
        <w:rPr>
          <w:rFonts w:eastAsia="Calibri"/>
          <w:sz w:val="27"/>
          <w:szCs w:val="27"/>
          <w:lang w:eastAsia="en-US"/>
        </w:rPr>
        <w:t>.</w:t>
      </w:r>
    </w:p>
    <w:p w:rsidR="00B246DA" w:rsidRPr="00B246DA" w:rsidRDefault="00B246DA" w:rsidP="00B246DA">
      <w:pPr>
        <w:spacing w:line="240" w:lineRule="auto"/>
        <w:ind w:left="709"/>
        <w:jc w:val="both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ind w:left="709"/>
        <w:jc w:val="center"/>
        <w:rPr>
          <w:rFonts w:ascii="Times New Roman" w:eastAsia="Calibri" w:hAnsi="Times New Roman" w:cs="Times New Roman"/>
          <w:caps/>
          <w:sz w:val="27"/>
          <w:szCs w:val="27"/>
          <w:lang w:val="en-SG" w:eastAsia="en-US"/>
        </w:rPr>
      </w:pPr>
      <w:r w:rsidRPr="00B246DA">
        <w:rPr>
          <w:rFonts w:ascii="Times New Roman" w:hAnsi="Times New Roman" w:cs="Times New Roman"/>
          <w:noProof/>
        </w:rPr>
        <w:drawing>
          <wp:inline distT="0" distB="0" distL="0" distR="0">
            <wp:extent cx="4714875" cy="23622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394" t="13409" r="24461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A" w:rsidRPr="00B246DA" w:rsidRDefault="00B246DA" w:rsidP="00B246DA">
      <w:pPr>
        <w:spacing w:line="240" w:lineRule="auto"/>
        <w:ind w:left="709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Рисунок </w:t>
      </w:r>
      <w:r w:rsidRPr="00B246DA">
        <w:rPr>
          <w:rFonts w:ascii="Times New Roman" w:eastAsia="Calibri" w:hAnsi="Times New Roman" w:cs="Times New Roman"/>
          <w:i/>
          <w:caps/>
          <w:sz w:val="27"/>
          <w:szCs w:val="27"/>
          <w:lang w:eastAsia="en-US"/>
        </w:rPr>
        <w:t>5</w:t>
      </w: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 – доступ к файлам с методическими материалами</w:t>
      </w:r>
    </w:p>
    <w:p w:rsidR="00B246DA" w:rsidRPr="00B246DA" w:rsidRDefault="00B246DA" w:rsidP="00B246DA">
      <w:pPr>
        <w:spacing w:line="240" w:lineRule="auto"/>
        <w:ind w:left="709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</w:p>
    <w:p w:rsidR="00B246DA" w:rsidRPr="00B246DA" w:rsidRDefault="00B246DA" w:rsidP="00B246DA">
      <w:pPr>
        <w:pStyle w:val="a6"/>
        <w:numPr>
          <w:ilvl w:val="0"/>
          <w:numId w:val="2"/>
        </w:numPr>
        <w:ind w:left="0" w:firstLine="709"/>
        <w:jc w:val="both"/>
        <w:rPr>
          <w:rFonts w:eastAsia="Calibri"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>Выставите оценки программе. В карточке программы перейдите на вкладку «Оценки</w:t>
      </w:r>
      <w:r w:rsidRPr="00B246DA">
        <w:rPr>
          <w:rFonts w:eastAsia="Calibri"/>
          <w:caps/>
          <w:sz w:val="27"/>
          <w:szCs w:val="27"/>
          <w:lang w:eastAsia="en-US"/>
        </w:rPr>
        <w:t>»</w:t>
      </w:r>
      <w:r w:rsidRPr="00B246DA">
        <w:rPr>
          <w:rFonts w:eastAsia="Calibri"/>
          <w:sz w:val="27"/>
          <w:szCs w:val="27"/>
          <w:lang w:eastAsia="en-US"/>
        </w:rPr>
        <w:t xml:space="preserve"> и последовательно оцените программу по каждому пункту в Экспертном листе</w:t>
      </w:r>
      <w:r w:rsidRPr="00B246DA">
        <w:rPr>
          <w:rFonts w:eastAsia="Calibri"/>
          <w:caps/>
          <w:sz w:val="27"/>
          <w:szCs w:val="27"/>
          <w:lang w:eastAsia="en-US"/>
        </w:rPr>
        <w:t xml:space="preserve">. </w:t>
      </w:r>
      <w:r w:rsidRPr="00B246DA">
        <w:rPr>
          <w:rFonts w:eastAsia="Calibri"/>
          <w:sz w:val="27"/>
          <w:szCs w:val="27"/>
          <w:lang w:eastAsia="en-US"/>
        </w:rPr>
        <w:t xml:space="preserve">По окончании нажмите кнопку </w:t>
      </w:r>
      <w:r w:rsidRPr="00B246DA">
        <w:rPr>
          <w:rFonts w:eastAsia="Calibri"/>
          <w:caps/>
          <w:sz w:val="27"/>
          <w:szCs w:val="27"/>
          <w:lang w:eastAsia="en-US"/>
        </w:rPr>
        <w:t>«</w:t>
      </w:r>
      <w:r w:rsidRPr="00B246DA">
        <w:rPr>
          <w:rFonts w:eastAsia="Calibri"/>
          <w:sz w:val="27"/>
          <w:szCs w:val="27"/>
          <w:lang w:eastAsia="en-US"/>
        </w:rPr>
        <w:t>оценить</w:t>
      </w:r>
      <w:r w:rsidRPr="00B246DA">
        <w:rPr>
          <w:rFonts w:eastAsia="Calibri"/>
          <w:caps/>
          <w:sz w:val="27"/>
          <w:szCs w:val="27"/>
          <w:lang w:eastAsia="en-US"/>
        </w:rPr>
        <w:t>»</w:t>
      </w:r>
      <w:r w:rsidRPr="00B246DA">
        <w:rPr>
          <w:rFonts w:eastAsia="Calibri"/>
          <w:sz w:val="27"/>
          <w:szCs w:val="27"/>
          <w:lang w:eastAsia="en-US"/>
        </w:rPr>
        <w:t xml:space="preserve"> в правом нижнем углу карточки программы (рис.6)</w:t>
      </w:r>
    </w:p>
    <w:p w:rsidR="00B246DA" w:rsidRPr="00B246DA" w:rsidRDefault="00B246DA" w:rsidP="00B246DA">
      <w:pPr>
        <w:spacing w:line="240" w:lineRule="auto"/>
        <w:jc w:val="both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caps/>
          <w:sz w:val="27"/>
          <w:szCs w:val="27"/>
          <w:lang w:eastAsia="en-US"/>
        </w:rPr>
      </w:pPr>
      <w:r w:rsidRPr="00B246DA">
        <w:rPr>
          <w:rFonts w:ascii="Times New Roman" w:hAnsi="Times New Roman" w:cs="Times New Roman"/>
          <w:noProof/>
        </w:rPr>
        <w:drawing>
          <wp:inline distT="0" distB="0" distL="0" distR="0">
            <wp:extent cx="3952875" cy="230505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704" t="19354" r="25671" b="3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Рисунок </w:t>
      </w:r>
      <w:r w:rsidRPr="00B246DA">
        <w:rPr>
          <w:rFonts w:ascii="Times New Roman" w:eastAsia="Calibri" w:hAnsi="Times New Roman" w:cs="Times New Roman"/>
          <w:i/>
          <w:caps/>
          <w:sz w:val="27"/>
          <w:szCs w:val="27"/>
          <w:lang w:eastAsia="en-US"/>
        </w:rPr>
        <w:t>6</w:t>
      </w:r>
      <w:r w:rsidRPr="00B246DA">
        <w:rPr>
          <w:rFonts w:ascii="Times New Roman" w:eastAsia="Calibri" w:hAnsi="Times New Roman" w:cs="Times New Roman"/>
          <w:i/>
          <w:sz w:val="27"/>
          <w:szCs w:val="27"/>
          <w:lang w:eastAsia="en-US"/>
        </w:rPr>
        <w:t xml:space="preserve"> – оценка программы</w:t>
      </w:r>
    </w:p>
    <w:p w:rsidR="00B246DA" w:rsidRPr="00B246DA" w:rsidRDefault="00B246DA" w:rsidP="00B246DA">
      <w:pPr>
        <w:spacing w:line="240" w:lineRule="auto"/>
        <w:jc w:val="center"/>
        <w:rPr>
          <w:rFonts w:ascii="Times New Roman" w:eastAsia="Calibri" w:hAnsi="Times New Roman" w:cs="Times New Roman"/>
          <w:i/>
          <w:sz w:val="27"/>
          <w:szCs w:val="27"/>
          <w:lang w:eastAsia="en-US"/>
        </w:rPr>
      </w:pPr>
    </w:p>
    <w:p w:rsidR="00B246DA" w:rsidRPr="00B246DA" w:rsidRDefault="00B246DA" w:rsidP="00B246DA">
      <w:pPr>
        <w:pStyle w:val="a6"/>
        <w:numPr>
          <w:ilvl w:val="0"/>
          <w:numId w:val="2"/>
        </w:numPr>
        <w:ind w:left="0" w:firstLine="709"/>
        <w:jc w:val="both"/>
        <w:rPr>
          <w:rFonts w:eastAsia="Calibri"/>
          <w:caps/>
          <w:sz w:val="27"/>
          <w:szCs w:val="27"/>
          <w:lang w:eastAsia="en-US"/>
        </w:rPr>
      </w:pPr>
      <w:r w:rsidRPr="00B246DA">
        <w:rPr>
          <w:rFonts w:eastAsia="Calibri"/>
          <w:sz w:val="27"/>
          <w:szCs w:val="27"/>
          <w:lang w:eastAsia="en-US"/>
        </w:rPr>
        <w:t>Перейдите в карточку следующей программы и оцените ее.</w:t>
      </w:r>
    </w:p>
    <w:p w:rsidR="00181E66" w:rsidRPr="00B246DA" w:rsidRDefault="00181E66" w:rsidP="00B246DA">
      <w:pPr>
        <w:spacing w:after="0" w:line="240" w:lineRule="auto"/>
        <w:rPr>
          <w:rFonts w:ascii="Times New Roman" w:hAnsi="Times New Roman" w:cs="Times New Roman"/>
        </w:rPr>
      </w:pPr>
    </w:p>
    <w:sectPr w:rsidR="00181E66" w:rsidRPr="00B246D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612" w:rsidRDefault="00181E6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246DA">
      <w:rPr>
        <w:noProof/>
      </w:rPr>
      <w:t>2</w:t>
    </w:r>
    <w:r>
      <w:fldChar w:fldCharType="end"/>
    </w:r>
  </w:p>
  <w:p w:rsidR="00BB2612" w:rsidRDefault="00181E6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77EFD"/>
    <w:multiLevelType w:val="hybridMultilevel"/>
    <w:tmpl w:val="E1120FE0"/>
    <w:lvl w:ilvl="0" w:tplc="AA061C08">
      <w:start w:val="1"/>
      <w:numFmt w:val="decimal"/>
      <w:lvlText w:val="%1."/>
      <w:lvlJc w:val="left"/>
      <w:pPr>
        <w:ind w:left="1681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C7E6D73"/>
    <w:multiLevelType w:val="hybridMultilevel"/>
    <w:tmpl w:val="30848F7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46DA"/>
    <w:rsid w:val="00181E66"/>
    <w:rsid w:val="00B2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4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246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B246DA"/>
    <w:rPr>
      <w:rFonts w:ascii="Times New Roman" w:eastAsia="Times New Roman" w:hAnsi="Times New Roman" w:cs="Times New Roman"/>
      <w:sz w:val="28"/>
      <w:szCs w:val="24"/>
    </w:rPr>
  </w:style>
  <w:style w:type="paragraph" w:styleId="a6">
    <w:name w:val="List Paragraph"/>
    <w:basedOn w:val="a"/>
    <w:uiPriority w:val="34"/>
    <w:qFormat/>
    <w:rsid w:val="00B246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2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505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2020-08-03T08:52:00Z</dcterms:created>
  <dcterms:modified xsi:type="dcterms:W3CDTF">2020-08-03T08:54:00Z</dcterms:modified>
</cp:coreProperties>
</file>